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3A" w:rsidRPr="00A43B3A" w:rsidRDefault="00A43B3A" w:rsidP="00A43B3A">
      <w:pPr>
        <w:widowControl w:val="0"/>
        <w:spacing w:after="0" w:line="360" w:lineRule="auto"/>
        <w:rPr>
          <w:rFonts w:ascii="ABBvoice" w:eastAsia="ABBvoice" w:hAnsi="ABBvoice" w:cs="Times New Roman"/>
          <w:noProof w:val="0"/>
          <w:sz w:val="18"/>
          <w:szCs w:val="18"/>
        </w:rPr>
      </w:pPr>
      <w:r w:rsidRPr="00A43B3A">
        <w:rPr>
          <w:rFonts w:ascii="ABBvoice" w:eastAsia="ABBvoice" w:hAnsi="ABBvoice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55CBF" wp14:editId="32A3D185">
                <wp:simplePos x="0" y="0"/>
                <wp:positionH relativeFrom="margin">
                  <wp:align>left</wp:align>
                </wp:positionH>
                <wp:positionV relativeFrom="paragraph">
                  <wp:posOffset>-55521</wp:posOffset>
                </wp:positionV>
                <wp:extent cx="212035" cy="0"/>
                <wp:effectExtent l="0" t="0" r="0" b="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gray">
                        <a:xfrm flipV="1">
                          <a:off x="0" y="0"/>
                          <a:ext cx="212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DB103" id="Conector recto 24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35pt" to="16.7pt,-4.3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" strokecolor="#ff000f" strokeweight="2pt">
                <w10:wrap anchorx="margin"/>
              </v:line>
            </w:pict>
          </mc:Fallback>
        </mc:AlternateContent>
      </w:r>
      <w:r w:rsidRPr="00A43B3A">
        <w:rPr>
          <w:rFonts w:ascii="ABBvoice" w:eastAsia="ABBvoice" w:hAnsi="ABBvoice" w:cs="ABBvoice"/>
          <w:b/>
          <w:bCs/>
          <w:noProof w:val="0"/>
          <w:color w:val="000000"/>
          <w:w w:val="99"/>
          <w:sz w:val="28"/>
          <w:szCs w:val="32"/>
        </w:rPr>
        <w:t>Agenda</w:t>
      </w:r>
    </w:p>
    <w:tbl>
      <w:tblPr>
        <w:tblStyle w:val="ABBTableStyle"/>
        <w:tblpPr w:leftFromText="141" w:rightFromText="141" w:vertAnchor="text" w:horzAnchor="margin" w:tblpY="192"/>
        <w:tblW w:w="5011" w:type="pct"/>
        <w:tblLook w:val="0420" w:firstRow="1" w:lastRow="0" w:firstColumn="0" w:lastColumn="0" w:noHBand="0" w:noVBand="1"/>
      </w:tblPr>
      <w:tblGrid>
        <w:gridCol w:w="1561"/>
        <w:gridCol w:w="6238"/>
        <w:gridCol w:w="1563"/>
        <w:gridCol w:w="19"/>
      </w:tblGrid>
      <w:tr w:rsidR="007873E0" w:rsidRPr="00A43B3A" w:rsidTr="00DF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  <w:tblHeader/>
        </w:trPr>
        <w:tc>
          <w:tcPr>
            <w:tcW w:w="832" w:type="pct"/>
            <w:tcBorders>
              <w:top w:val="single" w:sz="4" w:space="0" w:color="FAFAFA"/>
              <w:bottom w:val="single" w:sz="18" w:space="0" w:color="auto"/>
            </w:tcBorders>
          </w:tcPr>
          <w:p w:rsidR="007873E0" w:rsidRPr="0051706C" w:rsidRDefault="002B2D52" w:rsidP="00A43B3A">
            <w:pPr>
              <w:widowControl w:val="0"/>
              <w:spacing w:line="240" w:lineRule="auto"/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</w:pPr>
            <w:r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  <w:t>Sep-Oct</w:t>
            </w:r>
            <w:r w:rsidR="00680E54"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  <w:t xml:space="preserve"> </w:t>
            </w:r>
            <w:r w:rsidR="007873E0" w:rsidRPr="0051706C"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58" w:type="pct"/>
            <w:gridSpan w:val="2"/>
            <w:tcBorders>
              <w:top w:val="single" w:sz="4" w:space="0" w:color="FAFAFA"/>
              <w:bottom w:val="single" w:sz="18" w:space="0" w:color="auto"/>
            </w:tcBorders>
          </w:tcPr>
          <w:p w:rsidR="007873E0" w:rsidRPr="00680E54" w:rsidRDefault="00E05E84" w:rsidP="00A43B3A">
            <w:pPr>
              <w:widowControl w:val="0"/>
              <w:spacing w:line="240" w:lineRule="auto"/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</w:pPr>
            <w:r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  <w:t xml:space="preserve">Drives </w:t>
            </w:r>
            <w:r w:rsidR="00680E54" w:rsidRPr="00680E54"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" w:type="pct"/>
            <w:tcBorders>
              <w:top w:val="single" w:sz="4" w:space="0" w:color="FAFAFA"/>
              <w:bottom w:val="single" w:sz="18" w:space="0" w:color="auto"/>
            </w:tcBorders>
          </w:tcPr>
          <w:p w:rsidR="007873E0" w:rsidRPr="00030972" w:rsidRDefault="007873E0" w:rsidP="00A43B3A">
            <w:pPr>
              <w:widowControl w:val="0"/>
              <w:spacing w:line="240" w:lineRule="auto"/>
              <w:rPr>
                <w:rFonts w:eastAsia="ABBvoice" w:cs="Times New Roman"/>
                <w:noProof w:val="0"/>
                <w:sz w:val="18"/>
                <w:szCs w:val="18"/>
                <w:lang w:val="en-US"/>
              </w:rPr>
            </w:pPr>
          </w:p>
        </w:tc>
      </w:tr>
      <w:tr w:rsidR="007873E0" w:rsidRPr="00A43B3A" w:rsidTr="00324DC0">
        <w:trPr>
          <w:gridAfter w:val="1"/>
          <w:wAfter w:w="10" w:type="pct"/>
          <w:trHeight w:val="217"/>
        </w:trPr>
        <w:tc>
          <w:tcPr>
            <w:tcW w:w="832" w:type="pct"/>
            <w:tcBorders>
              <w:top w:val="single" w:sz="18" w:space="0" w:color="auto"/>
              <w:bottom w:val="single" w:sz="2" w:space="0" w:color="D0CECE" w:themeColor="background2" w:themeShade="E6"/>
            </w:tcBorders>
          </w:tcPr>
          <w:p w:rsidR="007873E0" w:rsidRPr="00A43B3A" w:rsidRDefault="003B7A80" w:rsidP="00A43B3A">
            <w:pPr>
              <w:widowControl w:val="0"/>
              <w:tabs>
                <w:tab w:val="left" w:pos="3769"/>
              </w:tabs>
              <w:spacing w:line="240" w:lineRule="auto"/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1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7</w:t>
            </w:r>
            <w:r w:rsidR="00F00919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: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3</w:t>
            </w:r>
            <w:r w:rsidR="00F00919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0</w:t>
            </w:r>
            <w:r w:rsidR="00137C39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 xml:space="preserve"> </w:t>
            </w:r>
            <w:r w:rsidR="00F00919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-</w:t>
            </w:r>
            <w:r w:rsidR="00137C39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 xml:space="preserve"> </w:t>
            </w:r>
            <w:r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1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8</w:t>
            </w:r>
            <w:r w:rsidR="00F00919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: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  <w:t>00</w:t>
            </w:r>
          </w:p>
        </w:tc>
        <w:tc>
          <w:tcPr>
            <w:tcW w:w="3325" w:type="pct"/>
            <w:tcBorders>
              <w:top w:val="single" w:sz="18" w:space="0" w:color="auto"/>
              <w:bottom w:val="single" w:sz="2" w:space="0" w:color="D0CECE" w:themeColor="background2" w:themeShade="E6"/>
            </w:tcBorders>
          </w:tcPr>
          <w:p w:rsidR="007873E0" w:rsidRPr="00A43B3A" w:rsidRDefault="00F00919" w:rsidP="00A43B3A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Registro al evento </w:t>
            </w:r>
          </w:p>
        </w:tc>
        <w:tc>
          <w:tcPr>
            <w:tcW w:w="833" w:type="pct"/>
            <w:tcBorders>
              <w:top w:val="single" w:sz="18" w:space="0" w:color="auto"/>
              <w:bottom w:val="single" w:sz="2" w:space="0" w:color="D0CECE" w:themeColor="background2" w:themeShade="E6"/>
            </w:tcBorders>
          </w:tcPr>
          <w:p w:rsidR="007873E0" w:rsidRPr="00A43B3A" w:rsidRDefault="007873E0" w:rsidP="00A43B3A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A43B3A" w:rsidTr="005F2FEC">
        <w:trPr>
          <w:trHeight w:val="358"/>
        </w:trPr>
        <w:tc>
          <w:tcPr>
            <w:tcW w:w="832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</w:tcPr>
          <w:p w:rsidR="00DF5585" w:rsidRDefault="00DF5585" w:rsidP="00A43B3A">
            <w:pPr>
              <w:widowControl w:val="0"/>
              <w:tabs>
                <w:tab w:val="left" w:pos="3769"/>
              </w:tabs>
              <w:spacing w:line="240" w:lineRule="auto"/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1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8</w:t>
            </w: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: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00</w:t>
            </w: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 xml:space="preserve"> - 1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8</w:t>
            </w: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1</w:t>
            </w:r>
            <w:r w:rsidR="00842821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</w:tcPr>
          <w:p w:rsidR="00DF5585" w:rsidRDefault="000109B0" w:rsidP="00A43B3A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Bienvenida 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</w:tcPr>
          <w:p w:rsidR="00DF5585" w:rsidRPr="00A43B3A" w:rsidRDefault="00DF5585" w:rsidP="00A43B3A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842821" w:rsidTr="005F2FEC">
        <w:trPr>
          <w:trHeight w:val="243"/>
        </w:trPr>
        <w:tc>
          <w:tcPr>
            <w:tcW w:w="832" w:type="pct"/>
            <w:tcBorders>
              <w:top w:val="single" w:sz="2" w:space="0" w:color="D0CECE" w:themeColor="background2" w:themeShade="E6"/>
            </w:tcBorders>
          </w:tcPr>
          <w:p w:rsidR="00DF5585" w:rsidRPr="00A43B3A" w:rsidRDefault="00DF5585" w:rsidP="00F00919">
            <w:pPr>
              <w:widowControl w:val="0"/>
              <w:tabs>
                <w:tab w:val="left" w:pos="3769"/>
              </w:tabs>
              <w:spacing w:line="240" w:lineRule="auto"/>
              <w:rPr>
                <w:rFonts w:ascii="ABBvoice" w:eastAsia="ABBvoice" w:hAnsi="ABBvoice" w:cs="Times New Roman"/>
                <w:noProof w:val="0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1</w:t>
            </w:r>
            <w:r w:rsidR="00752363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8</w:t>
            </w:r>
            <w:r w:rsidR="00842821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10</w:t>
            </w: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 xml:space="preserve"> - 1</w:t>
            </w:r>
            <w:r w:rsidR="0068282C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8</w:t>
            </w:r>
            <w:r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  <w:t>30</w:t>
            </w:r>
          </w:p>
        </w:tc>
        <w:tc>
          <w:tcPr>
            <w:tcW w:w="4158" w:type="pct"/>
            <w:gridSpan w:val="2"/>
            <w:tcBorders>
              <w:top w:val="single" w:sz="2" w:space="0" w:color="D0CECE" w:themeColor="background2" w:themeShade="E6"/>
            </w:tcBorders>
          </w:tcPr>
          <w:p w:rsidR="00DF5585" w:rsidRPr="000109B0" w:rsidRDefault="000109B0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>Funcionalidades nuevas de la familia ACS380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 </w:t>
            </w:r>
          </w:p>
        </w:tc>
        <w:tc>
          <w:tcPr>
            <w:tcW w:w="1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</w:tcBorders>
          </w:tcPr>
          <w:p w:rsidR="00DF5585" w:rsidRPr="00A43B3A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F00919" w:rsidTr="005F2FEC">
        <w:trPr>
          <w:trHeight w:val="211"/>
        </w:trPr>
        <w:tc>
          <w:tcPr>
            <w:tcW w:w="832" w:type="pct"/>
          </w:tcPr>
          <w:p w:rsidR="00DF5585" w:rsidRPr="00F00919" w:rsidRDefault="00DF5585" w:rsidP="00F00919">
            <w:pPr>
              <w:widowControl w:val="0"/>
              <w:tabs>
                <w:tab w:val="left" w:pos="3769"/>
              </w:tabs>
              <w:spacing w:line="240" w:lineRule="auto"/>
              <w:rPr>
                <w:rFonts w:ascii="ABBvoice" w:eastAsia="ABBvoice" w:hAnsi="ABBvoice" w:cs="Times New Roman"/>
                <w:noProof w:val="0"/>
                <w:sz w:val="18"/>
                <w:szCs w:val="18"/>
                <w:lang w:val="en-US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8</w:t>
            </w:r>
            <w:r w:rsidRPr="00A43B3A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3</w:t>
            </w:r>
            <w:r w:rsidR="0099255E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  <w:r w:rsidRPr="00A43B3A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8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5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</w:tcPr>
          <w:p w:rsidR="00DF5585" w:rsidRPr="00A43B3A" w:rsidRDefault="000109B0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>Funcionalidades nuevas de la familia ACS480 y ACH480</w:t>
            </w:r>
          </w:p>
        </w:tc>
        <w:tc>
          <w:tcPr>
            <w:tcW w:w="10" w:type="pct"/>
            <w:tcBorders>
              <w:top w:val="single" w:sz="2" w:space="0" w:color="D0CECE" w:themeColor="background2" w:themeShade="E6"/>
            </w:tcBorders>
          </w:tcPr>
          <w:p w:rsidR="00DF5585" w:rsidRPr="00A43B3A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A43B3A" w:rsidTr="005F2FEC">
        <w:trPr>
          <w:trHeight w:val="211"/>
        </w:trPr>
        <w:tc>
          <w:tcPr>
            <w:tcW w:w="832" w:type="pct"/>
          </w:tcPr>
          <w:p w:rsidR="00DF5585" w:rsidRPr="00A43B3A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</w:pPr>
            <w:r w:rsidRPr="00A43B3A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8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5</w:t>
            </w:r>
            <w:r w:rsidR="00842821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  <w:r w:rsidRPr="00A43B3A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 – 1</w:t>
            </w:r>
            <w:r w:rsidR="00752363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9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</w:tcPr>
          <w:p w:rsidR="00DF5585" w:rsidRPr="00A43B3A" w:rsidRDefault="000109B0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Break </w:t>
            </w:r>
          </w:p>
        </w:tc>
        <w:tc>
          <w:tcPr>
            <w:tcW w:w="10" w:type="pct"/>
          </w:tcPr>
          <w:p w:rsidR="00DF5585" w:rsidRPr="00A43B3A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A43B3A" w:rsidTr="005F2FEC">
        <w:trPr>
          <w:trHeight w:val="211"/>
        </w:trPr>
        <w:tc>
          <w:tcPr>
            <w:tcW w:w="832" w:type="pct"/>
          </w:tcPr>
          <w:p w:rsidR="00DF5585" w:rsidRPr="00A43B3A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</w:t>
            </w:r>
            <w:r w:rsidR="00752363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9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0 – 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19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3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</w:tcPr>
          <w:p w:rsidR="00DF5585" w:rsidRPr="00A43B3A" w:rsidRDefault="000109B0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>Funcionalidades nuevas de las familias ACS580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 y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 ACH580</w:t>
            </w:r>
          </w:p>
        </w:tc>
        <w:tc>
          <w:tcPr>
            <w:tcW w:w="10" w:type="pct"/>
          </w:tcPr>
          <w:p w:rsidR="00DF5585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137C39" w:rsidTr="005F2FEC">
        <w:trPr>
          <w:trHeight w:val="211"/>
        </w:trPr>
        <w:tc>
          <w:tcPr>
            <w:tcW w:w="832" w:type="pct"/>
          </w:tcPr>
          <w:p w:rsidR="00DF5585" w:rsidRPr="00A43B3A" w:rsidRDefault="0068282C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19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3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0 – 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19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5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</w:tcPr>
          <w:p w:rsidR="00DF5585" w:rsidRDefault="000109B0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 w:rsidRPr="000109B0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Funcionalidades nuevas de la </w:t>
            </w:r>
            <w:r w:rsidR="001F703D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versión </w:t>
            </w:r>
            <w:r w:rsidRPr="000109B0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AC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H5</w:t>
            </w:r>
            <w:r w:rsidRPr="000109B0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80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-31</w:t>
            </w:r>
            <w:r w:rsidR="00DF5585" w:rsidRPr="000109B0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0" w:type="pct"/>
          </w:tcPr>
          <w:p w:rsidR="00DF5585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177B1F" w:rsidRPr="00137C39" w:rsidTr="005F2FEC">
        <w:trPr>
          <w:trHeight w:val="211"/>
        </w:trPr>
        <w:tc>
          <w:tcPr>
            <w:tcW w:w="832" w:type="pct"/>
          </w:tcPr>
          <w:p w:rsidR="00177B1F" w:rsidRDefault="00177B1F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19:50 – 20:10</w:t>
            </w:r>
          </w:p>
        </w:tc>
        <w:tc>
          <w:tcPr>
            <w:tcW w:w="4158" w:type="pct"/>
            <w:gridSpan w:val="2"/>
          </w:tcPr>
          <w:p w:rsidR="00177B1F" w:rsidRPr="000109B0" w:rsidRDefault="00177B1F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Break </w:t>
            </w:r>
          </w:p>
        </w:tc>
        <w:tc>
          <w:tcPr>
            <w:tcW w:w="10" w:type="pct"/>
          </w:tcPr>
          <w:p w:rsidR="00177B1F" w:rsidRDefault="00177B1F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DF5585" w:rsidRPr="00A43B3A" w:rsidTr="005F2FEC">
        <w:trPr>
          <w:trHeight w:val="211"/>
        </w:trPr>
        <w:tc>
          <w:tcPr>
            <w:tcW w:w="832" w:type="pct"/>
          </w:tcPr>
          <w:p w:rsidR="00DF5585" w:rsidRDefault="00177B1F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20:1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 xml:space="preserve"> – </w:t>
            </w:r>
            <w:r w:rsidR="00752363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2</w:t>
            </w:r>
            <w:r w:rsidR="0068282C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  <w:r w:rsidR="00DF5585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: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3</w:t>
            </w:r>
            <w:r w:rsidR="00F9689A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</w:tcPr>
          <w:p w:rsidR="00DF5585" w:rsidRPr="00F9689A" w:rsidRDefault="0068282C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Funcionalidades nuevas de la </w:t>
            </w:r>
            <w:r w:rsidR="001F703D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versión ACS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880-01/31</w:t>
            </w:r>
          </w:p>
        </w:tc>
        <w:tc>
          <w:tcPr>
            <w:tcW w:w="10" w:type="pct"/>
          </w:tcPr>
          <w:p w:rsidR="00DF5585" w:rsidRDefault="00DF5585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68282C" w:rsidRPr="00A43B3A" w:rsidTr="005F2FEC">
        <w:trPr>
          <w:trHeight w:val="211"/>
        </w:trPr>
        <w:tc>
          <w:tcPr>
            <w:tcW w:w="832" w:type="pct"/>
          </w:tcPr>
          <w:p w:rsidR="0068282C" w:rsidRDefault="0068282C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20: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3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 – 20: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5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n-US"/>
              </w:rPr>
              <w:t>0</w:t>
            </w:r>
          </w:p>
        </w:tc>
        <w:tc>
          <w:tcPr>
            <w:tcW w:w="4158" w:type="pct"/>
            <w:gridSpan w:val="2"/>
          </w:tcPr>
          <w:p w:rsidR="0068282C" w:rsidRDefault="0068282C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>Pl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>á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tica 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>de Arrancadores Suaves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" w:type="pct"/>
          </w:tcPr>
          <w:p w:rsidR="0068282C" w:rsidRDefault="0068282C" w:rsidP="00F00919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  <w:tr w:rsidR="0068282C" w:rsidRPr="00A43B3A" w:rsidTr="005F2FEC">
        <w:trPr>
          <w:trHeight w:val="211"/>
        </w:trPr>
        <w:tc>
          <w:tcPr>
            <w:tcW w:w="832" w:type="pct"/>
          </w:tcPr>
          <w:p w:rsidR="0068282C" w:rsidRPr="0068282C" w:rsidRDefault="0068282C" w:rsidP="0068282C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</w:pP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20:</w:t>
            </w:r>
            <w:r w:rsidR="00177B1F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5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0 </w:t>
            </w:r>
            <w:r w:rsidR="00E96ED7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–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 2</w:t>
            </w:r>
            <w:r w:rsidR="00E96ED7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2:00</w:t>
            </w:r>
          </w:p>
        </w:tc>
        <w:tc>
          <w:tcPr>
            <w:tcW w:w="4158" w:type="pct"/>
            <w:gridSpan w:val="2"/>
          </w:tcPr>
          <w:p w:rsidR="0068282C" w:rsidRPr="00F9689A" w:rsidRDefault="0068282C" w:rsidP="0068282C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</w:pPr>
            <w:r w:rsidRPr="000109B0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 xml:space="preserve">Exhibición y sesión abierta </w:t>
            </w:r>
            <w: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Demos/c</w:t>
            </w:r>
            <w:r w:rsidRPr="00F9689A"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  <w:lang w:val="es-MX"/>
              </w:rPr>
              <w:t>onvivencia con expertos ABB</w:t>
            </w:r>
          </w:p>
        </w:tc>
        <w:tc>
          <w:tcPr>
            <w:tcW w:w="10" w:type="pct"/>
          </w:tcPr>
          <w:p w:rsidR="0068282C" w:rsidRDefault="0068282C" w:rsidP="0068282C">
            <w:pPr>
              <w:rPr>
                <w:rFonts w:ascii="ABBvoice" w:eastAsia="ABBvoice" w:hAnsi="ABBvoice" w:cs="Times New Roman"/>
                <w:noProof w:val="0"/>
                <w:kern w:val="12"/>
                <w:sz w:val="18"/>
                <w:szCs w:val="18"/>
              </w:rPr>
            </w:pPr>
          </w:p>
        </w:tc>
      </w:tr>
    </w:tbl>
    <w:p w:rsidR="00AF384C" w:rsidRPr="001F703D" w:rsidRDefault="00AF384C"/>
    <w:sectPr w:rsidR="00AF384C" w:rsidRPr="001F703D" w:rsidSect="001D6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Bvoice">
    <w:altName w:val="Calibri"/>
    <w:panose1 w:val="020D0603020503020204"/>
    <w:charset w:val="00"/>
    <w:family w:val="swiss"/>
    <w:pitch w:val="variable"/>
    <w:sig w:usb0="A000006F" w:usb1="0000004B" w:usb2="00000028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6F11"/>
    <w:multiLevelType w:val="hybridMultilevel"/>
    <w:tmpl w:val="79BEE086"/>
    <w:lvl w:ilvl="0" w:tplc="BCD01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A"/>
    <w:rsid w:val="000109B0"/>
    <w:rsid w:val="00030972"/>
    <w:rsid w:val="000324F1"/>
    <w:rsid w:val="00137C39"/>
    <w:rsid w:val="00177B1F"/>
    <w:rsid w:val="001D6AC6"/>
    <w:rsid w:val="001F703D"/>
    <w:rsid w:val="002B2D52"/>
    <w:rsid w:val="00324DC0"/>
    <w:rsid w:val="00397272"/>
    <w:rsid w:val="003B392E"/>
    <w:rsid w:val="003B7A80"/>
    <w:rsid w:val="004F6AFA"/>
    <w:rsid w:val="00512756"/>
    <w:rsid w:val="0051706C"/>
    <w:rsid w:val="005547E1"/>
    <w:rsid w:val="00647659"/>
    <w:rsid w:val="00680E54"/>
    <w:rsid w:val="0068282C"/>
    <w:rsid w:val="006A38A6"/>
    <w:rsid w:val="00752363"/>
    <w:rsid w:val="007873E0"/>
    <w:rsid w:val="00842821"/>
    <w:rsid w:val="008920C0"/>
    <w:rsid w:val="0091292F"/>
    <w:rsid w:val="00974D40"/>
    <w:rsid w:val="0099255E"/>
    <w:rsid w:val="00A43B3A"/>
    <w:rsid w:val="00AA647C"/>
    <w:rsid w:val="00AA66C5"/>
    <w:rsid w:val="00AE6A67"/>
    <w:rsid w:val="00AF384C"/>
    <w:rsid w:val="00B26795"/>
    <w:rsid w:val="00BB3449"/>
    <w:rsid w:val="00DC792A"/>
    <w:rsid w:val="00DF5585"/>
    <w:rsid w:val="00E05E84"/>
    <w:rsid w:val="00E96ED7"/>
    <w:rsid w:val="00EF5A94"/>
    <w:rsid w:val="00F00919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7D188"/>
  <w15:chartTrackingRefBased/>
  <w15:docId w15:val="{B6064627-000C-43E7-8769-6FB140A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Text">
    <w:name w:val="_Table Text"/>
    <w:basedOn w:val="Normal"/>
    <w:uiPriority w:val="29"/>
    <w:rsid w:val="00A43B3A"/>
    <w:pPr>
      <w:spacing w:after="0" w:line="260" w:lineRule="atLeast"/>
    </w:pPr>
    <w:rPr>
      <w:noProof w:val="0"/>
      <w:kern w:val="12"/>
      <w:sz w:val="19"/>
      <w:lang w:val="en-US"/>
    </w:rPr>
  </w:style>
  <w:style w:type="table" w:customStyle="1" w:styleId="ABBTableStyle">
    <w:name w:val="ABB Table Style"/>
    <w:basedOn w:val="Tablanormal"/>
    <w:uiPriority w:val="99"/>
    <w:rsid w:val="00A43B3A"/>
    <w:pPr>
      <w:keepLines/>
      <w:spacing w:after="0" w:line="260" w:lineRule="atLeast"/>
      <w:ind w:right="170"/>
    </w:pPr>
    <w:rPr>
      <w:sz w:val="19"/>
      <w:szCs w:val="19"/>
      <w:lang w:val="de-DE"/>
    </w:rPr>
    <w:tblPr>
      <w:tblBorders>
        <w:top w:val="single" w:sz="12" w:space="0" w:color="auto"/>
        <w:bottom w:val="single" w:sz="12" w:space="0" w:color="auto"/>
        <w:insideH w:val="single" w:sz="4" w:space="0" w:color="D2D2D2"/>
      </w:tblBorders>
      <w:tblCellMar>
        <w:top w:w="85" w:type="dxa"/>
        <w:left w:w="0" w:type="dxa"/>
        <w:bottom w:w="85" w:type="dxa"/>
        <w:right w:w="0" w:type="dxa"/>
      </w:tblCellMar>
    </w:tblPr>
    <w:trPr>
      <w:cantSplit/>
    </w:trPr>
    <w:tblStylePr w:type="firstRow">
      <w:rPr>
        <w:rFonts w:ascii="ABBvoice" w:hAnsi="ABBvoice"/>
        <w:b/>
        <w:color w:val="auto"/>
      </w:rPr>
      <w:tblPr/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BBvoice" w:hAnsi="ABBvoice"/>
        <w:b/>
        <w:i w:val="0"/>
      </w:rPr>
      <w:tblPr/>
      <w:tcPr>
        <w:tcBorders>
          <w:top w:val="single" w:sz="2" w:space="0" w:color="auto"/>
        </w:tcBorders>
      </w:tcPr>
    </w:tblStylePr>
    <w:tblStylePr w:type="firstCol">
      <w:rPr>
        <w:b/>
        <w:i w:val="0"/>
      </w:rPr>
    </w:tblStylePr>
    <w:tblStylePr w:type="lastCol">
      <w:pPr>
        <w:wordWrap/>
        <w:ind w:rightChars="0" w:right="0"/>
        <w:jc w:val="righ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F636355BCB944B31165881515CA96" ma:contentTypeVersion="10" ma:contentTypeDescription="Create a new document." ma:contentTypeScope="" ma:versionID="3b14b17b3b102986bc5b8b35891845fa">
  <xsd:schema xmlns:xsd="http://www.w3.org/2001/XMLSchema" xmlns:xs="http://www.w3.org/2001/XMLSchema" xmlns:p="http://schemas.microsoft.com/office/2006/metadata/properties" xmlns:ns2="54c03655-23a1-4043-9356-346d518d61ac" xmlns:ns3="c957f1b5-0ec3-46e4-9a4a-49fee755c8a8" targetNamespace="http://schemas.microsoft.com/office/2006/metadata/properties" ma:root="true" ma:fieldsID="83ea34313fae6422c1a955795dfa5783" ns2:_="" ns3:_="">
    <xsd:import namespace="54c03655-23a1-4043-9356-346d518d61ac"/>
    <xsd:import namespace="c957f1b5-0ec3-46e4-9a4a-49fee755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03655-23a1-4043-9356-346d518d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7f1b5-0ec3-46e4-9a4a-49fee755c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6CA14-55BE-42A8-9AE8-D872307AF9DB}"/>
</file>

<file path=customXml/itemProps2.xml><?xml version="1.0" encoding="utf-8"?>
<ds:datastoreItem xmlns:ds="http://schemas.openxmlformats.org/officeDocument/2006/customXml" ds:itemID="{47AF159B-A88E-4025-923F-E4CD61433CE9}"/>
</file>

<file path=customXml/itemProps3.xml><?xml version="1.0" encoding="utf-8"?>
<ds:datastoreItem xmlns:ds="http://schemas.openxmlformats.org/officeDocument/2006/customXml" ds:itemID="{00F4BD9D-C932-4486-8D2E-E84204020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NUNEZ SANDOVAL</dc:creator>
  <cp:keywords/>
  <dc:description/>
  <cp:lastModifiedBy>Valeria NUNEZ SANDOVAL</cp:lastModifiedBy>
  <cp:revision>9</cp:revision>
  <dcterms:created xsi:type="dcterms:W3CDTF">2019-08-15T16:43:00Z</dcterms:created>
  <dcterms:modified xsi:type="dcterms:W3CDTF">2019-09-20T15:39:00Z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0x010100DFEF636355BCB944B31165881515CA96</vt:lpwstr>
  </property>
</Properties>
</file>